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B9" w:rsidRDefault="00233794" w:rsidP="00BF2839">
      <w:pPr>
        <w:jc w:val="center"/>
      </w:pPr>
      <w:r>
        <w:rPr>
          <w:rFonts w:hint="eastAsia"/>
        </w:rPr>
        <w:t>比布町国民健康保険後発医薬品使用促進計画</w:t>
      </w:r>
    </w:p>
    <w:p w:rsidR="00BF2839" w:rsidRDefault="00BF2839" w:rsidP="00BF2839">
      <w:pPr>
        <w:jc w:val="center"/>
      </w:pPr>
    </w:p>
    <w:p w:rsidR="00233794" w:rsidRDefault="00233794" w:rsidP="00233794">
      <w:r>
        <w:rPr>
          <w:rFonts w:hint="eastAsia"/>
        </w:rPr>
        <w:t>１．後発医薬品の利用状況と目標設定について</w:t>
      </w:r>
    </w:p>
    <w:p w:rsidR="00BF2839" w:rsidRDefault="00BF2839" w:rsidP="00233794"/>
    <w:p w:rsidR="00233794" w:rsidRDefault="00233794" w:rsidP="00233794">
      <w:r>
        <w:rPr>
          <w:rFonts w:hint="eastAsia"/>
        </w:rPr>
        <w:t xml:space="preserve">　　後発医薬品（ジェネリック医薬品）は、先発医薬品と治療学的に同等であるものとして製造販売が承認され、一般的に研究開発に要する費用が低く抑えられることから、先発医薬品に比べて薬価が安くなっており、患者負担の軽減や医療保険財政の改善に資するものです。</w:t>
      </w:r>
    </w:p>
    <w:p w:rsidR="00233794" w:rsidRDefault="00233794" w:rsidP="00233794">
      <w:r>
        <w:rPr>
          <w:rFonts w:hint="eastAsia"/>
        </w:rPr>
        <w:t xml:space="preserve">　このため、厚生労働省では平成２５年４月に「後発医薬品の更なる使用促進のためのロードマップ」を策定し、平成３０年度から平成３</w:t>
      </w:r>
      <w:r w:rsidR="003A2F8F">
        <w:rPr>
          <w:rFonts w:hint="eastAsia"/>
        </w:rPr>
        <w:t>２</w:t>
      </w:r>
      <w:r>
        <w:rPr>
          <w:rFonts w:hint="eastAsia"/>
        </w:rPr>
        <w:t>年度までの間のなるべく早い時期に</w:t>
      </w:r>
      <w:r>
        <w:rPr>
          <w:rFonts w:hint="eastAsia"/>
        </w:rPr>
        <w:t>80</w:t>
      </w:r>
      <w:r>
        <w:rPr>
          <w:rFonts w:hint="eastAsia"/>
        </w:rPr>
        <w:t>％以上を達成する</w:t>
      </w:r>
      <w:r w:rsidR="00162D5E">
        <w:rPr>
          <w:rFonts w:hint="eastAsia"/>
        </w:rPr>
        <w:t>もの</w:t>
      </w:r>
      <w:r>
        <w:rPr>
          <w:rFonts w:hint="eastAsia"/>
        </w:rPr>
        <w:t>として新たな数量シェア目標を定めました。</w:t>
      </w:r>
    </w:p>
    <w:p w:rsidR="00233794" w:rsidRDefault="00233794" w:rsidP="00233794">
      <w:r>
        <w:rPr>
          <w:rFonts w:hint="eastAsia"/>
        </w:rPr>
        <w:t xml:space="preserve">　本町においても、国の指針に基づき、以下の具体的な目標を掲げ、より一層の後発医薬品の使用を促進</w:t>
      </w:r>
      <w:r w:rsidR="00B810D2">
        <w:rPr>
          <w:rFonts w:hint="eastAsia"/>
        </w:rPr>
        <w:t>するための施策に取り組みます。</w:t>
      </w:r>
    </w:p>
    <w:p w:rsidR="00BF2839" w:rsidRDefault="00BF2839" w:rsidP="00233794"/>
    <w:tbl>
      <w:tblPr>
        <w:tblStyle w:val="af1"/>
        <w:tblW w:w="9351" w:type="dxa"/>
        <w:tblLook w:val="04A0" w:firstRow="1" w:lastRow="0" w:firstColumn="1" w:lastColumn="0" w:noHBand="0" w:noVBand="1"/>
      </w:tblPr>
      <w:tblGrid>
        <w:gridCol w:w="1244"/>
        <w:gridCol w:w="1480"/>
        <w:gridCol w:w="1104"/>
        <w:gridCol w:w="1105"/>
        <w:gridCol w:w="1104"/>
        <w:gridCol w:w="1105"/>
        <w:gridCol w:w="1104"/>
        <w:gridCol w:w="1105"/>
      </w:tblGrid>
      <w:tr w:rsidR="007D3E03" w:rsidTr="003A2F8F">
        <w:tc>
          <w:tcPr>
            <w:tcW w:w="2724" w:type="dxa"/>
            <w:gridSpan w:val="2"/>
          </w:tcPr>
          <w:p w:rsidR="007D3E03" w:rsidRDefault="007D3E03" w:rsidP="003A2F8F">
            <w:pPr>
              <w:jc w:val="center"/>
            </w:pPr>
            <w:r>
              <w:rPr>
                <w:rFonts w:hint="eastAsia"/>
              </w:rPr>
              <w:t>区</w:t>
            </w:r>
            <w:r w:rsidR="003A2F8F">
              <w:rPr>
                <w:rFonts w:hint="eastAsia"/>
              </w:rPr>
              <w:t xml:space="preserve">　</w:t>
            </w:r>
            <w:r>
              <w:rPr>
                <w:rFonts w:hint="eastAsia"/>
              </w:rPr>
              <w:t>分</w:t>
            </w:r>
          </w:p>
        </w:tc>
        <w:tc>
          <w:tcPr>
            <w:tcW w:w="2209" w:type="dxa"/>
            <w:gridSpan w:val="2"/>
            <w:tcBorders>
              <w:right w:val="single" w:sz="4" w:space="0" w:color="000000"/>
            </w:tcBorders>
          </w:tcPr>
          <w:p w:rsidR="007D3E03" w:rsidRDefault="007D3E03" w:rsidP="007D3E03">
            <w:pPr>
              <w:jc w:val="center"/>
            </w:pPr>
            <w:r>
              <w:rPr>
                <w:rFonts w:hint="eastAsia"/>
              </w:rPr>
              <w:t>実績値</w:t>
            </w:r>
          </w:p>
        </w:tc>
        <w:tc>
          <w:tcPr>
            <w:tcW w:w="4418" w:type="dxa"/>
            <w:gridSpan w:val="4"/>
            <w:tcBorders>
              <w:top w:val="single" w:sz="4" w:space="0" w:color="000000"/>
              <w:left w:val="single" w:sz="4" w:space="0" w:color="000000"/>
              <w:bottom w:val="single" w:sz="4" w:space="0" w:color="000000"/>
              <w:right w:val="single" w:sz="4" w:space="0" w:color="000000"/>
            </w:tcBorders>
          </w:tcPr>
          <w:p w:rsidR="007D3E03" w:rsidRDefault="007D3E03" w:rsidP="007D3E03">
            <w:pPr>
              <w:jc w:val="center"/>
            </w:pPr>
            <w:r>
              <w:rPr>
                <w:rFonts w:hint="eastAsia"/>
              </w:rPr>
              <w:t>目標値</w:t>
            </w:r>
          </w:p>
        </w:tc>
      </w:tr>
      <w:tr w:rsidR="003A2F8F" w:rsidTr="00493C8B">
        <w:tc>
          <w:tcPr>
            <w:tcW w:w="2724" w:type="dxa"/>
            <w:gridSpan w:val="2"/>
          </w:tcPr>
          <w:p w:rsidR="003A2F8F" w:rsidRDefault="003A2F8F" w:rsidP="007D3E03">
            <w:pPr>
              <w:jc w:val="center"/>
            </w:pPr>
            <w:r>
              <w:rPr>
                <w:rFonts w:hint="eastAsia"/>
              </w:rPr>
              <w:t>年　度</w:t>
            </w:r>
          </w:p>
        </w:tc>
        <w:tc>
          <w:tcPr>
            <w:tcW w:w="1104" w:type="dxa"/>
            <w:vAlign w:val="center"/>
          </w:tcPr>
          <w:p w:rsidR="003A2F8F" w:rsidRDefault="003A2F8F" w:rsidP="003A2F8F">
            <w:pPr>
              <w:jc w:val="center"/>
            </w:pPr>
            <w:r>
              <w:rPr>
                <w:rFonts w:hint="eastAsia"/>
              </w:rPr>
              <w:t>H27</w:t>
            </w:r>
          </w:p>
        </w:tc>
        <w:tc>
          <w:tcPr>
            <w:tcW w:w="1105" w:type="dxa"/>
            <w:vAlign w:val="center"/>
          </w:tcPr>
          <w:p w:rsidR="003A2F8F" w:rsidRDefault="003A2F8F" w:rsidP="003A2F8F">
            <w:pPr>
              <w:jc w:val="center"/>
            </w:pPr>
            <w:r>
              <w:rPr>
                <w:rFonts w:hint="eastAsia"/>
              </w:rPr>
              <w:t>H28</w:t>
            </w:r>
          </w:p>
        </w:tc>
        <w:tc>
          <w:tcPr>
            <w:tcW w:w="1104" w:type="dxa"/>
            <w:tcBorders>
              <w:top w:val="single" w:sz="4" w:space="0" w:color="000000"/>
            </w:tcBorders>
            <w:vAlign w:val="center"/>
          </w:tcPr>
          <w:p w:rsidR="003A2F8F" w:rsidRDefault="003A2F8F" w:rsidP="003A2F8F">
            <w:pPr>
              <w:jc w:val="center"/>
            </w:pPr>
            <w:r>
              <w:rPr>
                <w:rFonts w:hint="eastAsia"/>
              </w:rPr>
              <w:t>H29</w:t>
            </w:r>
          </w:p>
        </w:tc>
        <w:tc>
          <w:tcPr>
            <w:tcW w:w="1105" w:type="dxa"/>
            <w:tcBorders>
              <w:top w:val="single" w:sz="4" w:space="0" w:color="000000"/>
            </w:tcBorders>
            <w:vAlign w:val="center"/>
          </w:tcPr>
          <w:p w:rsidR="003A2F8F" w:rsidRDefault="003A2F8F" w:rsidP="003A2F8F">
            <w:pPr>
              <w:jc w:val="center"/>
            </w:pPr>
            <w:r>
              <w:rPr>
                <w:rFonts w:hint="eastAsia"/>
              </w:rPr>
              <w:t>H30</w:t>
            </w:r>
          </w:p>
        </w:tc>
        <w:tc>
          <w:tcPr>
            <w:tcW w:w="1104" w:type="dxa"/>
            <w:tcBorders>
              <w:top w:val="single" w:sz="4" w:space="0" w:color="000000"/>
            </w:tcBorders>
            <w:vAlign w:val="center"/>
          </w:tcPr>
          <w:p w:rsidR="003A2F8F" w:rsidRDefault="003A2F8F" w:rsidP="003A2F8F">
            <w:pPr>
              <w:jc w:val="center"/>
            </w:pPr>
            <w:r>
              <w:rPr>
                <w:rFonts w:hint="eastAsia"/>
              </w:rPr>
              <w:t>H31</w:t>
            </w:r>
          </w:p>
        </w:tc>
        <w:tc>
          <w:tcPr>
            <w:tcW w:w="1105" w:type="dxa"/>
            <w:tcBorders>
              <w:top w:val="single" w:sz="4" w:space="0" w:color="000000"/>
            </w:tcBorders>
            <w:vAlign w:val="center"/>
          </w:tcPr>
          <w:p w:rsidR="003A2F8F" w:rsidRDefault="003A2F8F" w:rsidP="003A2F8F">
            <w:pPr>
              <w:jc w:val="center"/>
            </w:pPr>
            <w:r>
              <w:rPr>
                <w:rFonts w:hint="eastAsia"/>
              </w:rPr>
              <w:t>H32</w:t>
            </w:r>
          </w:p>
        </w:tc>
      </w:tr>
      <w:tr w:rsidR="003A2F8F" w:rsidTr="00493C8B">
        <w:trPr>
          <w:trHeight w:val="663"/>
        </w:trPr>
        <w:tc>
          <w:tcPr>
            <w:tcW w:w="2724" w:type="dxa"/>
            <w:gridSpan w:val="2"/>
            <w:vAlign w:val="center"/>
          </w:tcPr>
          <w:p w:rsidR="003A2F8F" w:rsidRDefault="003A2F8F" w:rsidP="00493C8B">
            <w:pPr>
              <w:jc w:val="center"/>
            </w:pPr>
            <w:r>
              <w:rPr>
                <w:rFonts w:hint="eastAsia"/>
              </w:rPr>
              <w:t>数量シェア</w:t>
            </w:r>
            <w:r w:rsidRPr="007D3E03">
              <w:rPr>
                <w:rFonts w:hint="eastAsia"/>
                <w:sz w:val="18"/>
                <w:szCs w:val="18"/>
              </w:rPr>
              <w:t>（</w:t>
            </w:r>
            <w:r>
              <w:rPr>
                <w:rFonts w:hint="eastAsia"/>
                <w:sz w:val="18"/>
                <w:szCs w:val="18"/>
              </w:rPr>
              <w:t>年間平均；</w:t>
            </w:r>
            <w:r w:rsidRPr="007D3E03">
              <w:rPr>
                <w:rFonts w:hint="eastAsia"/>
                <w:sz w:val="18"/>
                <w:szCs w:val="18"/>
              </w:rPr>
              <w:t>％）</w:t>
            </w:r>
          </w:p>
        </w:tc>
        <w:tc>
          <w:tcPr>
            <w:tcW w:w="1104" w:type="dxa"/>
            <w:vAlign w:val="center"/>
          </w:tcPr>
          <w:p w:rsidR="003A2F8F" w:rsidRDefault="003A2F8F" w:rsidP="003A2F8F">
            <w:pPr>
              <w:jc w:val="right"/>
            </w:pPr>
            <w:r>
              <w:rPr>
                <w:rFonts w:hint="eastAsia"/>
              </w:rPr>
              <w:t>71.6</w:t>
            </w:r>
          </w:p>
        </w:tc>
        <w:tc>
          <w:tcPr>
            <w:tcW w:w="1105" w:type="dxa"/>
            <w:vAlign w:val="center"/>
          </w:tcPr>
          <w:p w:rsidR="003A2F8F" w:rsidRDefault="003A2F8F" w:rsidP="003A2F8F">
            <w:pPr>
              <w:jc w:val="right"/>
            </w:pPr>
            <w:r>
              <w:rPr>
                <w:rFonts w:hint="eastAsia"/>
              </w:rPr>
              <w:t>78.4</w:t>
            </w:r>
          </w:p>
        </w:tc>
        <w:tc>
          <w:tcPr>
            <w:tcW w:w="1104" w:type="dxa"/>
            <w:vAlign w:val="center"/>
          </w:tcPr>
          <w:p w:rsidR="003A2F8F" w:rsidRDefault="00C71D24" w:rsidP="003A2F8F">
            <w:pPr>
              <w:jc w:val="right"/>
            </w:pPr>
            <w:r>
              <w:rPr>
                <w:rFonts w:hint="eastAsia"/>
              </w:rPr>
              <w:t>80</w:t>
            </w:r>
            <w:r w:rsidR="003A2F8F">
              <w:rPr>
                <w:rFonts w:hint="eastAsia"/>
              </w:rPr>
              <w:t>.0</w:t>
            </w:r>
          </w:p>
        </w:tc>
        <w:tc>
          <w:tcPr>
            <w:tcW w:w="1105" w:type="dxa"/>
            <w:vAlign w:val="center"/>
          </w:tcPr>
          <w:p w:rsidR="003A2F8F" w:rsidRDefault="003A2F8F" w:rsidP="003A2F8F">
            <w:pPr>
              <w:jc w:val="right"/>
            </w:pPr>
            <w:r>
              <w:rPr>
                <w:rFonts w:hint="eastAsia"/>
              </w:rPr>
              <w:t>80.0</w:t>
            </w:r>
          </w:p>
        </w:tc>
        <w:tc>
          <w:tcPr>
            <w:tcW w:w="1104" w:type="dxa"/>
            <w:vAlign w:val="center"/>
          </w:tcPr>
          <w:p w:rsidR="003A2F8F" w:rsidRDefault="003A2F8F" w:rsidP="003A2F8F">
            <w:pPr>
              <w:jc w:val="right"/>
            </w:pPr>
            <w:r>
              <w:rPr>
                <w:rFonts w:hint="eastAsia"/>
              </w:rPr>
              <w:t>80.5</w:t>
            </w:r>
          </w:p>
        </w:tc>
        <w:tc>
          <w:tcPr>
            <w:tcW w:w="1105" w:type="dxa"/>
            <w:vAlign w:val="center"/>
          </w:tcPr>
          <w:p w:rsidR="003A2F8F" w:rsidRDefault="003A2F8F" w:rsidP="008F492B">
            <w:pPr>
              <w:jc w:val="right"/>
            </w:pPr>
            <w:r>
              <w:rPr>
                <w:rFonts w:hint="eastAsia"/>
              </w:rPr>
              <w:t>8</w:t>
            </w:r>
            <w:r w:rsidR="008F492B">
              <w:rPr>
                <w:rFonts w:hint="eastAsia"/>
              </w:rPr>
              <w:t>0</w:t>
            </w:r>
            <w:r>
              <w:rPr>
                <w:rFonts w:hint="eastAsia"/>
              </w:rPr>
              <w:t>.</w:t>
            </w:r>
            <w:r w:rsidR="008F492B">
              <w:rPr>
                <w:rFonts w:hint="eastAsia"/>
              </w:rPr>
              <w:t>5</w:t>
            </w:r>
          </w:p>
        </w:tc>
      </w:tr>
      <w:tr w:rsidR="003A2F8F" w:rsidTr="00493C8B">
        <w:tc>
          <w:tcPr>
            <w:tcW w:w="2724" w:type="dxa"/>
            <w:gridSpan w:val="2"/>
            <w:tcBorders>
              <w:bottom w:val="single" w:sz="4" w:space="0" w:color="FFFFFF" w:themeColor="background1"/>
            </w:tcBorders>
            <w:vAlign w:val="center"/>
          </w:tcPr>
          <w:p w:rsidR="003A2F8F" w:rsidRPr="00FC3D58" w:rsidRDefault="003A2F8F" w:rsidP="00493C8B">
            <w:pPr>
              <w:rPr>
                <w:sz w:val="18"/>
                <w:szCs w:val="18"/>
              </w:rPr>
            </w:pPr>
            <w:r w:rsidRPr="003A2F8F">
              <w:rPr>
                <w:rFonts w:hint="eastAsia"/>
                <w:szCs w:val="21"/>
              </w:rPr>
              <w:t>後発品への切り替効果額</w:t>
            </w:r>
            <w:r>
              <w:rPr>
                <w:rFonts w:hint="eastAsia"/>
                <w:sz w:val="18"/>
                <w:szCs w:val="18"/>
              </w:rPr>
              <w:t>(</w:t>
            </w:r>
            <w:r>
              <w:rPr>
                <w:rFonts w:hint="eastAsia"/>
                <w:sz w:val="18"/>
                <w:szCs w:val="18"/>
              </w:rPr>
              <w:t>千円</w:t>
            </w:r>
            <w:r>
              <w:rPr>
                <w:rFonts w:hint="eastAsia"/>
                <w:sz w:val="18"/>
                <w:szCs w:val="18"/>
              </w:rPr>
              <w:t>)</w:t>
            </w:r>
          </w:p>
        </w:tc>
        <w:tc>
          <w:tcPr>
            <w:tcW w:w="1104" w:type="dxa"/>
            <w:vAlign w:val="center"/>
          </w:tcPr>
          <w:p w:rsidR="003A2F8F" w:rsidRDefault="003A2F8F" w:rsidP="003A2F8F">
            <w:pPr>
              <w:jc w:val="right"/>
            </w:pPr>
            <w:r>
              <w:rPr>
                <w:rFonts w:hint="eastAsia"/>
              </w:rPr>
              <w:t>,</w:t>
            </w:r>
            <w:r w:rsidR="000A01CA">
              <w:rPr>
                <w:rFonts w:hint="eastAsia"/>
              </w:rPr>
              <w:t>284</w:t>
            </w:r>
          </w:p>
        </w:tc>
        <w:tc>
          <w:tcPr>
            <w:tcW w:w="1105" w:type="dxa"/>
            <w:vAlign w:val="center"/>
          </w:tcPr>
          <w:p w:rsidR="003A2F8F" w:rsidRDefault="000A01CA" w:rsidP="003A2F8F">
            <w:pPr>
              <w:jc w:val="right"/>
            </w:pPr>
            <w:r>
              <w:rPr>
                <w:rFonts w:hint="eastAsia"/>
              </w:rPr>
              <w:t>467</w:t>
            </w:r>
          </w:p>
        </w:tc>
        <w:tc>
          <w:tcPr>
            <w:tcW w:w="1104" w:type="dxa"/>
            <w:vAlign w:val="center"/>
          </w:tcPr>
          <w:p w:rsidR="003A2F8F" w:rsidRDefault="003E4B57" w:rsidP="003A2F8F">
            <w:pPr>
              <w:jc w:val="right"/>
            </w:pPr>
            <w:r>
              <w:rPr>
                <w:rFonts w:hint="eastAsia"/>
              </w:rPr>
              <w:t>390</w:t>
            </w:r>
          </w:p>
        </w:tc>
        <w:tc>
          <w:tcPr>
            <w:tcW w:w="1105" w:type="dxa"/>
            <w:vAlign w:val="center"/>
          </w:tcPr>
          <w:p w:rsidR="003A2F8F" w:rsidRDefault="003E4B57" w:rsidP="003A2F8F">
            <w:pPr>
              <w:jc w:val="right"/>
            </w:pPr>
            <w:r>
              <w:rPr>
                <w:rFonts w:hint="eastAsia"/>
              </w:rPr>
              <w:t>390</w:t>
            </w:r>
          </w:p>
        </w:tc>
        <w:tc>
          <w:tcPr>
            <w:tcW w:w="1104" w:type="dxa"/>
            <w:vAlign w:val="center"/>
          </w:tcPr>
          <w:p w:rsidR="003A2F8F" w:rsidRDefault="003E4B57" w:rsidP="003A2F8F">
            <w:pPr>
              <w:jc w:val="right"/>
            </w:pPr>
            <w:bookmarkStart w:id="0" w:name="_GoBack"/>
            <w:bookmarkEnd w:id="0"/>
            <w:r>
              <w:rPr>
                <w:rFonts w:hint="eastAsia"/>
              </w:rPr>
              <w:t>400</w:t>
            </w:r>
          </w:p>
        </w:tc>
        <w:tc>
          <w:tcPr>
            <w:tcW w:w="1105" w:type="dxa"/>
            <w:vAlign w:val="center"/>
          </w:tcPr>
          <w:p w:rsidR="003A2F8F" w:rsidRDefault="003E4B57" w:rsidP="003A2F8F">
            <w:pPr>
              <w:jc w:val="right"/>
            </w:pPr>
            <w:r>
              <w:rPr>
                <w:rFonts w:hint="eastAsia"/>
              </w:rPr>
              <w:t>400</w:t>
            </w:r>
          </w:p>
        </w:tc>
      </w:tr>
      <w:tr w:rsidR="003A2F8F" w:rsidTr="00493C8B">
        <w:tc>
          <w:tcPr>
            <w:tcW w:w="1244" w:type="dxa"/>
            <w:vMerge w:val="restart"/>
            <w:tcBorders>
              <w:top w:val="single" w:sz="4" w:space="0" w:color="FFFFFF" w:themeColor="background1"/>
              <w:left w:val="single" w:sz="4" w:space="0" w:color="000000"/>
              <w:bottom w:val="single" w:sz="4" w:space="0" w:color="000000"/>
              <w:right w:val="single" w:sz="4" w:space="0" w:color="000000"/>
            </w:tcBorders>
          </w:tcPr>
          <w:p w:rsidR="003A2F8F" w:rsidRPr="007D3E03" w:rsidRDefault="003A2F8F" w:rsidP="007D3E03">
            <w:pPr>
              <w:jc w:val="right"/>
              <w:rPr>
                <w:sz w:val="18"/>
                <w:szCs w:val="18"/>
              </w:rPr>
            </w:pPr>
          </w:p>
        </w:tc>
        <w:tc>
          <w:tcPr>
            <w:tcW w:w="1480" w:type="dxa"/>
            <w:tcBorders>
              <w:top w:val="single" w:sz="4" w:space="0" w:color="auto"/>
              <w:left w:val="single" w:sz="4" w:space="0" w:color="000000"/>
            </w:tcBorders>
          </w:tcPr>
          <w:p w:rsidR="003A2F8F" w:rsidRDefault="003A2F8F" w:rsidP="007D3E03">
            <w:r>
              <w:rPr>
                <w:rFonts w:hint="eastAsia"/>
              </w:rPr>
              <w:t>35</w:t>
            </w:r>
            <w:r>
              <w:rPr>
                <w:rFonts w:hint="eastAsia"/>
              </w:rPr>
              <w:t>～</w:t>
            </w:r>
            <w:r>
              <w:rPr>
                <w:rFonts w:hint="eastAsia"/>
              </w:rPr>
              <w:t>64</w:t>
            </w:r>
            <w:r>
              <w:rPr>
                <w:rFonts w:hint="eastAsia"/>
              </w:rPr>
              <w:t>歳</w:t>
            </w:r>
          </w:p>
        </w:tc>
        <w:tc>
          <w:tcPr>
            <w:tcW w:w="1104" w:type="dxa"/>
            <w:vAlign w:val="center"/>
          </w:tcPr>
          <w:p w:rsidR="003A2F8F" w:rsidRDefault="000A01CA" w:rsidP="003A2F8F">
            <w:pPr>
              <w:jc w:val="right"/>
            </w:pPr>
            <w:r>
              <w:rPr>
                <w:rFonts w:hint="eastAsia"/>
              </w:rPr>
              <w:t>59</w:t>
            </w:r>
          </w:p>
        </w:tc>
        <w:tc>
          <w:tcPr>
            <w:tcW w:w="1105" w:type="dxa"/>
            <w:vAlign w:val="center"/>
          </w:tcPr>
          <w:p w:rsidR="003A2F8F" w:rsidRDefault="000A01CA" w:rsidP="00493C8B">
            <w:pPr>
              <w:jc w:val="right"/>
            </w:pPr>
            <w:r>
              <w:rPr>
                <w:rFonts w:hint="eastAsia"/>
              </w:rPr>
              <w:t>207</w:t>
            </w:r>
          </w:p>
        </w:tc>
        <w:tc>
          <w:tcPr>
            <w:tcW w:w="1104" w:type="dxa"/>
            <w:vAlign w:val="center"/>
          </w:tcPr>
          <w:p w:rsidR="00493C8B" w:rsidRDefault="00493C8B" w:rsidP="00493C8B">
            <w:pPr>
              <w:jc w:val="right"/>
            </w:pPr>
            <w:r>
              <w:rPr>
                <w:rFonts w:hint="eastAsia"/>
              </w:rPr>
              <w:t>150</w:t>
            </w:r>
          </w:p>
        </w:tc>
        <w:tc>
          <w:tcPr>
            <w:tcW w:w="1105" w:type="dxa"/>
            <w:vAlign w:val="center"/>
          </w:tcPr>
          <w:p w:rsidR="003A2F8F" w:rsidRDefault="00493C8B" w:rsidP="00493C8B">
            <w:pPr>
              <w:jc w:val="right"/>
            </w:pPr>
            <w:r>
              <w:rPr>
                <w:rFonts w:hint="eastAsia"/>
              </w:rPr>
              <w:t>150</w:t>
            </w:r>
          </w:p>
        </w:tc>
        <w:tc>
          <w:tcPr>
            <w:tcW w:w="1104" w:type="dxa"/>
            <w:vAlign w:val="center"/>
          </w:tcPr>
          <w:p w:rsidR="003A2F8F" w:rsidRDefault="00493C8B" w:rsidP="00493C8B">
            <w:pPr>
              <w:jc w:val="right"/>
            </w:pPr>
            <w:r>
              <w:rPr>
                <w:rFonts w:hint="eastAsia"/>
              </w:rPr>
              <w:t>150</w:t>
            </w:r>
          </w:p>
        </w:tc>
        <w:tc>
          <w:tcPr>
            <w:tcW w:w="1105" w:type="dxa"/>
            <w:vAlign w:val="center"/>
          </w:tcPr>
          <w:p w:rsidR="003A2F8F" w:rsidRDefault="00493C8B" w:rsidP="00493C8B">
            <w:pPr>
              <w:jc w:val="right"/>
            </w:pPr>
            <w:r>
              <w:rPr>
                <w:rFonts w:hint="eastAsia"/>
              </w:rPr>
              <w:t>150</w:t>
            </w:r>
          </w:p>
        </w:tc>
      </w:tr>
      <w:tr w:rsidR="003A2F8F" w:rsidTr="00493C8B">
        <w:tc>
          <w:tcPr>
            <w:tcW w:w="1244" w:type="dxa"/>
            <w:vMerge/>
            <w:tcBorders>
              <w:top w:val="single" w:sz="4" w:space="0" w:color="000000"/>
              <w:left w:val="single" w:sz="4" w:space="0" w:color="000000"/>
              <w:bottom w:val="single" w:sz="4" w:space="0" w:color="000000"/>
              <w:right w:val="single" w:sz="4" w:space="0" w:color="000000"/>
            </w:tcBorders>
          </w:tcPr>
          <w:p w:rsidR="003A2F8F" w:rsidRDefault="003A2F8F" w:rsidP="007D3E03"/>
        </w:tc>
        <w:tc>
          <w:tcPr>
            <w:tcW w:w="1480" w:type="dxa"/>
            <w:tcBorders>
              <w:left w:val="single" w:sz="4" w:space="0" w:color="000000"/>
            </w:tcBorders>
          </w:tcPr>
          <w:p w:rsidR="003A2F8F" w:rsidRDefault="003A2F8F" w:rsidP="007D3E03">
            <w:r>
              <w:rPr>
                <w:rFonts w:hint="eastAsia"/>
              </w:rPr>
              <w:t>65</w:t>
            </w:r>
            <w:r>
              <w:rPr>
                <w:rFonts w:hint="eastAsia"/>
              </w:rPr>
              <w:t>～</w:t>
            </w:r>
            <w:r>
              <w:rPr>
                <w:rFonts w:hint="eastAsia"/>
              </w:rPr>
              <w:t>74</w:t>
            </w:r>
            <w:r>
              <w:rPr>
                <w:rFonts w:hint="eastAsia"/>
              </w:rPr>
              <w:t>歳</w:t>
            </w:r>
          </w:p>
        </w:tc>
        <w:tc>
          <w:tcPr>
            <w:tcW w:w="1104" w:type="dxa"/>
            <w:vAlign w:val="center"/>
          </w:tcPr>
          <w:p w:rsidR="003A2F8F" w:rsidRDefault="000A01CA" w:rsidP="003A2F8F">
            <w:pPr>
              <w:jc w:val="right"/>
            </w:pPr>
            <w:r>
              <w:rPr>
                <w:rFonts w:hint="eastAsia"/>
              </w:rPr>
              <w:t>225</w:t>
            </w:r>
          </w:p>
        </w:tc>
        <w:tc>
          <w:tcPr>
            <w:tcW w:w="1105" w:type="dxa"/>
            <w:vAlign w:val="center"/>
          </w:tcPr>
          <w:p w:rsidR="003A2F8F" w:rsidRDefault="000A01CA" w:rsidP="00493C8B">
            <w:pPr>
              <w:jc w:val="right"/>
            </w:pPr>
            <w:r>
              <w:rPr>
                <w:rFonts w:hint="eastAsia"/>
              </w:rPr>
              <w:t>260</w:t>
            </w:r>
          </w:p>
        </w:tc>
        <w:tc>
          <w:tcPr>
            <w:tcW w:w="1104" w:type="dxa"/>
            <w:vAlign w:val="center"/>
          </w:tcPr>
          <w:p w:rsidR="003A2F8F" w:rsidRDefault="00493C8B" w:rsidP="00493C8B">
            <w:pPr>
              <w:jc w:val="right"/>
            </w:pPr>
            <w:r>
              <w:rPr>
                <w:rFonts w:hint="eastAsia"/>
              </w:rPr>
              <w:t>240</w:t>
            </w:r>
          </w:p>
        </w:tc>
        <w:tc>
          <w:tcPr>
            <w:tcW w:w="1105" w:type="dxa"/>
            <w:vAlign w:val="center"/>
          </w:tcPr>
          <w:p w:rsidR="003A2F8F" w:rsidRDefault="00493C8B" w:rsidP="00493C8B">
            <w:pPr>
              <w:jc w:val="right"/>
            </w:pPr>
            <w:r>
              <w:rPr>
                <w:rFonts w:hint="eastAsia"/>
              </w:rPr>
              <w:t>240</w:t>
            </w:r>
          </w:p>
        </w:tc>
        <w:tc>
          <w:tcPr>
            <w:tcW w:w="1104" w:type="dxa"/>
            <w:vAlign w:val="center"/>
          </w:tcPr>
          <w:p w:rsidR="003A2F8F" w:rsidRDefault="00493C8B" w:rsidP="00493C8B">
            <w:pPr>
              <w:jc w:val="right"/>
            </w:pPr>
            <w:r>
              <w:rPr>
                <w:rFonts w:hint="eastAsia"/>
              </w:rPr>
              <w:t>250</w:t>
            </w:r>
          </w:p>
        </w:tc>
        <w:tc>
          <w:tcPr>
            <w:tcW w:w="1105" w:type="dxa"/>
            <w:vAlign w:val="center"/>
          </w:tcPr>
          <w:p w:rsidR="003A2F8F" w:rsidRDefault="00493C8B" w:rsidP="00493C8B">
            <w:pPr>
              <w:jc w:val="right"/>
            </w:pPr>
            <w:r>
              <w:rPr>
                <w:rFonts w:hint="eastAsia"/>
              </w:rPr>
              <w:t>250</w:t>
            </w:r>
          </w:p>
        </w:tc>
      </w:tr>
    </w:tbl>
    <w:p w:rsidR="00B810D2" w:rsidRPr="007D3E03" w:rsidRDefault="007D3E03" w:rsidP="007D3E03">
      <w:pPr>
        <w:ind w:rightChars="-157" w:right="-330"/>
        <w:rPr>
          <w:sz w:val="18"/>
          <w:szCs w:val="18"/>
        </w:rPr>
      </w:pPr>
      <w:r w:rsidRPr="007D3E03">
        <w:rPr>
          <w:rFonts w:hint="eastAsia"/>
          <w:sz w:val="18"/>
          <w:szCs w:val="18"/>
        </w:rPr>
        <w:t>※上記実績値は、北海道国保連合化で提供を受けた「数量シェア集計表」及び「差額通知書効果集計表」より抽出</w:t>
      </w:r>
    </w:p>
    <w:p w:rsidR="00B810D2" w:rsidRDefault="00B810D2" w:rsidP="00233794"/>
    <w:p w:rsidR="00B810D2" w:rsidRDefault="00B810D2" w:rsidP="00233794">
      <w:r>
        <w:rPr>
          <w:rFonts w:hint="eastAsia"/>
        </w:rPr>
        <w:t>２．後発医薬品の利用促進に向けた施策の実施について</w:t>
      </w:r>
    </w:p>
    <w:p w:rsidR="007D3E03" w:rsidRDefault="007D3E03" w:rsidP="00233794"/>
    <w:p w:rsidR="00B810D2" w:rsidRDefault="00B810D2" w:rsidP="00233794">
      <w:r>
        <w:rPr>
          <w:rFonts w:hint="eastAsia"/>
        </w:rPr>
        <w:t xml:space="preserve">　次の施策に</w:t>
      </w:r>
      <w:r w:rsidR="007D3E03">
        <w:rPr>
          <w:rFonts w:hint="eastAsia"/>
        </w:rPr>
        <w:t>つい</w:t>
      </w:r>
      <w:r w:rsidR="00E72909">
        <w:rPr>
          <w:rFonts w:hint="eastAsia"/>
        </w:rPr>
        <w:t>て</w:t>
      </w:r>
      <w:r>
        <w:rPr>
          <w:rFonts w:hint="eastAsia"/>
        </w:rPr>
        <w:t>継続して取り組みます。</w:t>
      </w:r>
    </w:p>
    <w:p w:rsidR="00B810D2" w:rsidRDefault="00B810D2" w:rsidP="00233794">
      <w:r>
        <w:rPr>
          <w:rFonts w:hint="eastAsia"/>
        </w:rPr>
        <w:t xml:space="preserve">　（１）被保険者への普及啓発活動</w:t>
      </w:r>
    </w:p>
    <w:p w:rsidR="00B810D2" w:rsidRDefault="00B810D2" w:rsidP="00233794">
      <w:r>
        <w:rPr>
          <w:rFonts w:hint="eastAsia"/>
        </w:rPr>
        <w:t xml:space="preserve">　　　①後発医薬品差額通知の実施</w:t>
      </w:r>
    </w:p>
    <w:p w:rsidR="00B810D2" w:rsidRDefault="00B810D2" w:rsidP="00233794">
      <w:r>
        <w:rPr>
          <w:rFonts w:hint="eastAsia"/>
        </w:rPr>
        <w:t xml:space="preserve">　　　　被保者へ年３回の通知の実施（平成</w:t>
      </w:r>
      <w:r>
        <w:rPr>
          <w:rFonts w:hint="eastAsia"/>
        </w:rPr>
        <w:t>29</w:t>
      </w:r>
      <w:r>
        <w:rPr>
          <w:rFonts w:hint="eastAsia"/>
        </w:rPr>
        <w:t>年度に、年２回から３回へ増）</w:t>
      </w:r>
    </w:p>
    <w:p w:rsidR="00B810D2" w:rsidRDefault="00B810D2" w:rsidP="00233794">
      <w:r>
        <w:rPr>
          <w:rFonts w:hint="eastAsia"/>
        </w:rPr>
        <w:t xml:space="preserve">　　　②後発医薬品使用希望の意思表示シールの配布</w:t>
      </w:r>
    </w:p>
    <w:p w:rsidR="00B810D2" w:rsidRDefault="00B810D2" w:rsidP="00233794">
      <w:r>
        <w:rPr>
          <w:rFonts w:hint="eastAsia"/>
        </w:rPr>
        <w:t xml:space="preserve">　　　　国保制度周知にあわせ、各世帯に</w:t>
      </w:r>
      <w:r w:rsidR="00FC4B59">
        <w:rPr>
          <w:rFonts w:hint="eastAsia"/>
        </w:rPr>
        <w:t>シールの</w:t>
      </w:r>
      <w:r>
        <w:rPr>
          <w:rFonts w:hint="eastAsia"/>
        </w:rPr>
        <w:t>全戸配布を実施（平成</w:t>
      </w:r>
      <w:r>
        <w:rPr>
          <w:rFonts w:hint="eastAsia"/>
        </w:rPr>
        <w:t>2</w:t>
      </w:r>
      <w:r w:rsidR="0071124B">
        <w:rPr>
          <w:rFonts w:hint="eastAsia"/>
        </w:rPr>
        <w:t>6</w:t>
      </w:r>
      <w:r>
        <w:rPr>
          <w:rFonts w:hint="eastAsia"/>
        </w:rPr>
        <w:t>年度より実施）</w:t>
      </w:r>
    </w:p>
    <w:p w:rsidR="008A7434" w:rsidRDefault="008A7434" w:rsidP="00233794">
      <w:r>
        <w:rPr>
          <w:rFonts w:hint="eastAsia"/>
        </w:rPr>
        <w:t xml:space="preserve">　　　　新規国保加入者には保険証と同時に配布</w:t>
      </w:r>
    </w:p>
    <w:p w:rsidR="00B810D2" w:rsidRDefault="00FA7ACF" w:rsidP="00233794">
      <w:r>
        <w:rPr>
          <w:rFonts w:hint="eastAsia"/>
        </w:rPr>
        <w:t xml:space="preserve">　　　③</w:t>
      </w:r>
      <w:r w:rsidR="008A7434">
        <w:rPr>
          <w:rFonts w:hint="eastAsia"/>
        </w:rPr>
        <w:t>その他の</w:t>
      </w:r>
      <w:r w:rsidR="003F0050">
        <w:rPr>
          <w:rFonts w:hint="eastAsia"/>
        </w:rPr>
        <w:t>周知</w:t>
      </w:r>
    </w:p>
    <w:p w:rsidR="008A7434" w:rsidRDefault="003F0050" w:rsidP="00233794">
      <w:r>
        <w:rPr>
          <w:rFonts w:hint="eastAsia"/>
        </w:rPr>
        <w:t xml:space="preserve">　　　　</w:t>
      </w:r>
      <w:r w:rsidR="008A7434" w:rsidRPr="008A7434">
        <w:rPr>
          <w:rFonts w:hint="eastAsia"/>
        </w:rPr>
        <w:t>広報誌及び町ホームページによる</w:t>
      </w:r>
      <w:r>
        <w:rPr>
          <w:rFonts w:hint="eastAsia"/>
        </w:rPr>
        <w:t>記事を掲載し、普及に向けて周知を行う</w:t>
      </w:r>
    </w:p>
    <w:p w:rsidR="008A7434" w:rsidRPr="008A7434" w:rsidRDefault="008A7434" w:rsidP="00233794">
      <w:r>
        <w:rPr>
          <w:rFonts w:hint="eastAsia"/>
        </w:rPr>
        <w:t xml:space="preserve">　　　　特定検診実施日にあわせ、後発医薬品希望シール設置と周知用チラシ作成・掲示</w:t>
      </w:r>
    </w:p>
    <w:p w:rsidR="003F0050" w:rsidRDefault="003F0050" w:rsidP="00233794">
      <w:r>
        <w:rPr>
          <w:rFonts w:hint="eastAsia"/>
        </w:rPr>
        <w:t xml:space="preserve">　（２）関係機関への協力依頼</w:t>
      </w:r>
    </w:p>
    <w:p w:rsidR="003F0050" w:rsidRDefault="003F0050" w:rsidP="00233794">
      <w:r>
        <w:rPr>
          <w:rFonts w:hint="eastAsia"/>
        </w:rPr>
        <w:t xml:space="preserve">　　　①町内医療機関及び薬局への後発医薬品推奨の依頼</w:t>
      </w:r>
    </w:p>
    <w:p w:rsidR="003F0050" w:rsidRPr="003F0050" w:rsidRDefault="008A7434" w:rsidP="00233794">
      <w:r>
        <w:rPr>
          <w:rFonts w:hint="eastAsia"/>
        </w:rPr>
        <w:t xml:space="preserve">　　　②特定検診及び保健指導に際し、投薬治療者に対して</w:t>
      </w:r>
      <w:r w:rsidR="003F0050">
        <w:rPr>
          <w:rFonts w:hint="eastAsia"/>
        </w:rPr>
        <w:t>後発医薬品の説明</w:t>
      </w:r>
    </w:p>
    <w:sectPr w:rsidR="003F0050" w:rsidRPr="003F0050">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546" w:rsidRDefault="00570546" w:rsidP="001D53F8">
      <w:r>
        <w:separator/>
      </w:r>
    </w:p>
  </w:endnote>
  <w:endnote w:type="continuationSeparator" w:id="0">
    <w:p w:rsidR="00570546" w:rsidRDefault="00570546" w:rsidP="001D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546" w:rsidRDefault="00570546" w:rsidP="001D53F8">
      <w:r>
        <w:separator/>
      </w:r>
    </w:p>
  </w:footnote>
  <w:footnote w:type="continuationSeparator" w:id="0">
    <w:p w:rsidR="00570546" w:rsidRDefault="00570546" w:rsidP="001D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40C11"/>
    <w:multiLevelType w:val="hybridMultilevel"/>
    <w:tmpl w:val="56E61EEC"/>
    <w:lvl w:ilvl="0" w:tplc="0B004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C8"/>
    <w:rsid w:val="000A01CA"/>
    <w:rsid w:val="000E0A22"/>
    <w:rsid w:val="00162D5E"/>
    <w:rsid w:val="001D53F8"/>
    <w:rsid w:val="00233794"/>
    <w:rsid w:val="002A7951"/>
    <w:rsid w:val="003A2F8F"/>
    <w:rsid w:val="003E4B57"/>
    <w:rsid w:val="003E58C8"/>
    <w:rsid w:val="003F0050"/>
    <w:rsid w:val="00493C8B"/>
    <w:rsid w:val="004A0B98"/>
    <w:rsid w:val="00570546"/>
    <w:rsid w:val="006A1F84"/>
    <w:rsid w:val="0071124B"/>
    <w:rsid w:val="007D3E03"/>
    <w:rsid w:val="008A7434"/>
    <w:rsid w:val="008F492B"/>
    <w:rsid w:val="009C2D3B"/>
    <w:rsid w:val="00A230B9"/>
    <w:rsid w:val="00A9615D"/>
    <w:rsid w:val="00AA75BB"/>
    <w:rsid w:val="00B810D2"/>
    <w:rsid w:val="00BF2839"/>
    <w:rsid w:val="00C71D24"/>
    <w:rsid w:val="00DD6C8F"/>
    <w:rsid w:val="00E72909"/>
    <w:rsid w:val="00FA7ACF"/>
    <w:rsid w:val="00FC3D58"/>
    <w:rsid w:val="00FC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A57B31-ED6F-405A-B238-6C99C652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BF2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1D53F8"/>
    <w:pPr>
      <w:tabs>
        <w:tab w:val="center" w:pos="4252"/>
        <w:tab w:val="right" w:pos="8504"/>
      </w:tabs>
      <w:snapToGrid w:val="0"/>
    </w:pPr>
  </w:style>
  <w:style w:type="character" w:customStyle="1" w:styleId="af3">
    <w:name w:val="ヘッダー (文字)"/>
    <w:basedOn w:val="a0"/>
    <w:link w:val="af2"/>
    <w:uiPriority w:val="99"/>
    <w:rsid w:val="001D53F8"/>
  </w:style>
  <w:style w:type="paragraph" w:styleId="af4">
    <w:name w:val="footer"/>
    <w:basedOn w:val="a"/>
    <w:link w:val="af5"/>
    <w:uiPriority w:val="99"/>
    <w:unhideWhenUsed/>
    <w:rsid w:val="001D53F8"/>
    <w:pPr>
      <w:tabs>
        <w:tab w:val="center" w:pos="4252"/>
        <w:tab w:val="right" w:pos="8504"/>
      </w:tabs>
      <w:snapToGrid w:val="0"/>
    </w:pPr>
  </w:style>
  <w:style w:type="character" w:customStyle="1" w:styleId="af5">
    <w:name w:val="フッター (文字)"/>
    <w:basedOn w:val="a0"/>
    <w:link w:val="af4"/>
    <w:uiPriority w:val="99"/>
    <w:rsid w:val="001D53F8"/>
  </w:style>
  <w:style w:type="paragraph" w:styleId="af6">
    <w:name w:val="Balloon Text"/>
    <w:basedOn w:val="a"/>
    <w:link w:val="af7"/>
    <w:uiPriority w:val="99"/>
    <w:semiHidden/>
    <w:unhideWhenUsed/>
    <w:rsid w:val="00C71D2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71D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D6B8-2F8C-49E2-9899-E4C63ECF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32</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us168</dc:creator>
  <cp:keywords/>
  <dc:description/>
  <cp:lastModifiedBy>us168</cp:lastModifiedBy>
  <cp:revision>7</cp:revision>
  <cp:lastPrinted>2018-02-28T07:40:00Z</cp:lastPrinted>
  <dcterms:created xsi:type="dcterms:W3CDTF">2018-02-28T06:23:00Z</dcterms:created>
  <dcterms:modified xsi:type="dcterms:W3CDTF">2018-03-14T02:23:00Z</dcterms:modified>
</cp:coreProperties>
</file>